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0.27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9月1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9月1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0.31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9月1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0.40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9月1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9月1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basedOn w:val="NormalCharacter"/>
    <w:link w:val="Footer"/>
    <w:semiHidden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basedOn w:val="NormalCharacter"/>
    <w:link w:val="Header"/>
    <w:semiHidden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jc w:val="both"/>
      <w:widowControl w:val="off"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0.276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